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1B" w:rsidRDefault="00EF781B" w:rsidP="002E1EFE">
      <w:pPr>
        <w:rPr>
          <w:b/>
          <w:u w:val="single"/>
        </w:rPr>
      </w:pPr>
    </w:p>
    <w:p w:rsidR="00EF781B" w:rsidRDefault="00EF781B" w:rsidP="0005234E">
      <w:pPr>
        <w:jc w:val="center"/>
        <w:rPr>
          <w:b/>
          <w:u w:val="single"/>
        </w:rPr>
      </w:pPr>
    </w:p>
    <w:p w:rsidR="00171C0B" w:rsidRPr="004C5F17" w:rsidRDefault="00171C0B" w:rsidP="0005234E">
      <w:pPr>
        <w:jc w:val="center"/>
        <w:rPr>
          <w:b/>
          <w:u w:val="single"/>
        </w:rPr>
      </w:pPr>
      <w:r w:rsidRPr="004C5F17">
        <w:rPr>
          <w:b/>
          <w:u w:val="single"/>
        </w:rPr>
        <w:t>Key Stage 4</w:t>
      </w:r>
    </w:p>
    <w:p w:rsidR="00171C0B" w:rsidRPr="0005234E" w:rsidRDefault="00171C0B">
      <w:pPr>
        <w:rPr>
          <w:u w:val="single"/>
        </w:rPr>
      </w:pPr>
      <w:r w:rsidRPr="0005234E">
        <w:rPr>
          <w:u w:val="single"/>
        </w:rPr>
        <w:t>Intent</w:t>
      </w:r>
      <w:r w:rsidR="0005234E" w:rsidRPr="0005234E">
        <w:rPr>
          <w:u w:val="single"/>
        </w:rPr>
        <w:t>:</w:t>
      </w:r>
    </w:p>
    <w:p w:rsidR="00C527BB" w:rsidRDefault="00171C0B">
      <w:r>
        <w:t xml:space="preserve">At Key Stage 4 we aim to provide a curriculum that equips </w:t>
      </w:r>
      <w:r w:rsidRPr="00171C0B">
        <w:t xml:space="preserve">pupils at the school </w:t>
      </w:r>
      <w:r>
        <w:t xml:space="preserve">with life skills that prepares them </w:t>
      </w:r>
      <w:r w:rsidRPr="00171C0B">
        <w:t>fo</w:t>
      </w:r>
      <w:r w:rsidR="00B37E32">
        <w:t>r the</w:t>
      </w:r>
      <w:r w:rsidRPr="00171C0B">
        <w:t xml:space="preserve"> opportunities, responsibilities and experiences of later life.</w:t>
      </w:r>
      <w:r w:rsidR="00B37E32">
        <w:t xml:space="preserve"> </w:t>
      </w:r>
      <w:r w:rsidR="000E5447">
        <w:t xml:space="preserve">We aim to </w:t>
      </w:r>
      <w:r w:rsidR="00B37E32">
        <w:t xml:space="preserve">encourage pupils to </w:t>
      </w:r>
      <w:r w:rsidR="008B2899">
        <w:t>develop</w:t>
      </w:r>
      <w:r w:rsidR="00B37E32">
        <w:t xml:space="preserve"> </w:t>
      </w:r>
      <w:r w:rsidR="008B2899">
        <w:t>independen</w:t>
      </w:r>
      <w:r w:rsidR="000E5447">
        <w:t>ce</w:t>
      </w:r>
      <w:r w:rsidR="002A4913">
        <w:t xml:space="preserve"> and </w:t>
      </w:r>
      <w:r w:rsidR="00F54464">
        <w:t>self-help</w:t>
      </w:r>
      <w:r w:rsidR="00B37E32">
        <w:t xml:space="preserve"> skills and</w:t>
      </w:r>
      <w:r w:rsidR="002A4913">
        <w:t xml:space="preserve"> to</w:t>
      </w:r>
      <w:r w:rsidR="00B37E32">
        <w:t xml:space="preserve"> become actively </w:t>
      </w:r>
      <w:r w:rsidR="002A4913">
        <w:t xml:space="preserve">involved </w:t>
      </w:r>
      <w:r w:rsidR="00B37E32">
        <w:t xml:space="preserve">in the wider community. </w:t>
      </w:r>
    </w:p>
    <w:p w:rsidR="00C527BB" w:rsidRPr="0005234E" w:rsidRDefault="00C527BB">
      <w:pPr>
        <w:rPr>
          <w:u w:val="single"/>
        </w:rPr>
      </w:pPr>
      <w:r w:rsidRPr="0005234E">
        <w:rPr>
          <w:u w:val="single"/>
        </w:rPr>
        <w:t>Implementation</w:t>
      </w:r>
      <w:r w:rsidR="0005234E" w:rsidRPr="0005234E">
        <w:rPr>
          <w:u w:val="single"/>
        </w:rPr>
        <w:t>:</w:t>
      </w:r>
    </w:p>
    <w:p w:rsidR="002A4913" w:rsidRDefault="006316E7">
      <w:r>
        <w:t xml:space="preserve"> </w:t>
      </w:r>
      <w:r w:rsidR="00030469">
        <w:t xml:space="preserve">At Key Stage 4 </w:t>
      </w:r>
      <w:r w:rsidR="00D5548B">
        <w:t>we continue to link</w:t>
      </w:r>
      <w:r w:rsidR="00BC12AB" w:rsidRPr="00BC12AB">
        <w:t xml:space="preserve"> core and foundation subjects</w:t>
      </w:r>
      <w:r w:rsidR="00D5548B" w:rsidRPr="00D5548B">
        <w:t xml:space="preserve"> </w:t>
      </w:r>
      <w:r w:rsidR="001E2394">
        <w:t xml:space="preserve">with the </w:t>
      </w:r>
      <w:r w:rsidR="00BC12AB" w:rsidRPr="00BC12AB">
        <w:t>KS4 National Curriculum</w:t>
      </w:r>
      <w:r w:rsidR="00D5548B">
        <w:t xml:space="preserve"> as much as possible. </w:t>
      </w:r>
      <w:r w:rsidR="001E2394">
        <w:t>A</w:t>
      </w:r>
      <w:r w:rsidR="00BC12AB" w:rsidRPr="00BC12AB">
        <w:t>ppropriate accreditation and qualifications are also achieved through class and external project work.</w:t>
      </w:r>
    </w:p>
    <w:p w:rsidR="00AE00C2" w:rsidRDefault="007F5810">
      <w:r>
        <w:t>As well as Maths and English, Science, RE and computing are also taught</w:t>
      </w:r>
      <w:r w:rsidR="00DC3320">
        <w:t xml:space="preserve"> in such </w:t>
      </w:r>
      <w:r w:rsidR="00915377">
        <w:t>a</w:t>
      </w:r>
      <w:r w:rsidR="00DC3320">
        <w:t xml:space="preserve"> way that all pupils are able to make progress</w:t>
      </w:r>
      <w:r>
        <w:t xml:space="preserve">. </w:t>
      </w:r>
      <w:r w:rsidR="00075F6A" w:rsidRPr="00075F6A">
        <w:t>Pupils are able to experience Humanities and Arts through Accreditations or discrete lessons.</w:t>
      </w:r>
      <w:r w:rsidR="00075F6A">
        <w:t xml:space="preserve"> </w:t>
      </w:r>
      <w:r>
        <w:t xml:space="preserve">Time for pupils to develop life skills such as food </w:t>
      </w:r>
      <w:r w:rsidR="00CF69EC">
        <w:t xml:space="preserve">preparation </w:t>
      </w:r>
      <w:r w:rsidR="00DC3320">
        <w:t xml:space="preserve">are also </w:t>
      </w:r>
      <w:r>
        <w:t>built into the timetable</w:t>
      </w:r>
      <w:r w:rsidR="00B03F71">
        <w:t>.  Pupils access the wider community</w:t>
      </w:r>
      <w:r w:rsidR="00476C57">
        <w:t xml:space="preserve"> making links that develop a sense of belonging</w:t>
      </w:r>
      <w:r w:rsidR="00B03F71">
        <w:t>.</w:t>
      </w:r>
    </w:p>
    <w:tbl>
      <w:tblPr>
        <w:tblStyle w:val="TableGrid"/>
        <w:tblpPr w:leftFromText="180" w:rightFromText="180" w:vertAnchor="text" w:horzAnchor="margin" w:tblpXSpec="center" w:tblpY="627"/>
        <w:tblW w:w="8217" w:type="dxa"/>
        <w:tblLook w:val="04A0" w:firstRow="1" w:lastRow="0" w:firstColumn="1" w:lastColumn="0" w:noHBand="0" w:noVBand="1"/>
      </w:tblPr>
      <w:tblGrid>
        <w:gridCol w:w="2603"/>
        <w:gridCol w:w="2767"/>
        <w:gridCol w:w="2847"/>
      </w:tblGrid>
      <w:tr w:rsidR="00AE00C2" w:rsidTr="00643F01">
        <w:trPr>
          <w:trHeight w:val="3638"/>
        </w:trPr>
        <w:tc>
          <w:tcPr>
            <w:tcW w:w="2603" w:type="dxa"/>
          </w:tcPr>
          <w:p w:rsidR="00AE00C2" w:rsidRDefault="00AE00C2" w:rsidP="00643F01">
            <w:pPr>
              <w:jc w:val="center"/>
            </w:pPr>
            <w:r>
              <w:t>Pathway 1</w:t>
            </w:r>
          </w:p>
          <w:p w:rsidR="00AE00C2" w:rsidRPr="00115F0B" w:rsidRDefault="00AE00C2" w:rsidP="00643F01">
            <w:pPr>
              <w:jc w:val="center"/>
            </w:pPr>
            <w:r w:rsidRPr="00115F0B">
              <w:t>ASDA</w:t>
            </w:r>
            <w:r w:rsidR="00FB0D13">
              <w:t>N</w:t>
            </w:r>
            <w:r w:rsidR="00FB0D1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FB0D13">
              <w:rPr>
                <w:rFonts w:ascii="Calibri" w:hAnsi="Calibri" w:cs="Calibri"/>
                <w:color w:val="000000"/>
                <w:shd w:val="clear" w:color="auto" w:fill="FFFFFF"/>
              </w:rPr>
              <w:t>Annual Quality Declaration</w:t>
            </w:r>
            <w:r w:rsidRPr="00115F0B">
              <w:t xml:space="preserve"> Personal Development Programme</w:t>
            </w:r>
          </w:p>
          <w:p w:rsidR="00AE00C2" w:rsidRDefault="00AE00C2" w:rsidP="00643F01">
            <w:pPr>
              <w:jc w:val="center"/>
            </w:pPr>
          </w:p>
          <w:p w:rsidR="00AE00C2" w:rsidRDefault="00AE00C2" w:rsidP="00643F01">
            <w:pPr>
              <w:jc w:val="center"/>
            </w:pPr>
            <w:r>
              <w:t>AQA Single Unit Awards</w:t>
            </w:r>
          </w:p>
          <w:p w:rsidR="00AE00C2" w:rsidRDefault="00AE00C2" w:rsidP="00643F01">
            <w:pPr>
              <w:jc w:val="center"/>
            </w:pPr>
          </w:p>
          <w:p w:rsidR="00AE00C2" w:rsidRPr="00F54464" w:rsidRDefault="00AE00C2" w:rsidP="00643F01">
            <w:pPr>
              <w:jc w:val="center"/>
            </w:pPr>
            <w:r w:rsidRPr="00F54464">
              <w:t>Functional Skills Math</w:t>
            </w:r>
            <w:r>
              <w:t xml:space="preserve">s, </w:t>
            </w:r>
            <w:r w:rsidRPr="00F54464">
              <w:t>English</w:t>
            </w:r>
            <w:r>
              <w:t xml:space="preserve"> and ICT</w:t>
            </w:r>
          </w:p>
          <w:p w:rsidR="00AE00C2" w:rsidRDefault="00AE00C2" w:rsidP="00643F01">
            <w:pPr>
              <w:jc w:val="center"/>
            </w:pPr>
            <w:r w:rsidRPr="00F54464">
              <w:t>Entry Level</w:t>
            </w:r>
            <w:r w:rsidR="00FB0D13">
              <w:t xml:space="preserve"> </w:t>
            </w:r>
            <w:r w:rsidRPr="00F54464">
              <w:t>3 and Level</w:t>
            </w:r>
            <w:r w:rsidR="00FB0D13">
              <w:t xml:space="preserve"> </w:t>
            </w:r>
            <w:r w:rsidRPr="00F54464">
              <w:t>1-2</w:t>
            </w:r>
          </w:p>
          <w:p w:rsidR="00AE00C2" w:rsidRDefault="00AE00C2" w:rsidP="00643F01">
            <w:pPr>
              <w:jc w:val="center"/>
            </w:pPr>
          </w:p>
          <w:p w:rsidR="00AE00C2" w:rsidRDefault="00AE00C2" w:rsidP="00643F01">
            <w:pPr>
              <w:jc w:val="center"/>
            </w:pPr>
            <w:r>
              <w:t>Careers:</w:t>
            </w:r>
          </w:p>
          <w:p w:rsidR="00AE00C2" w:rsidRDefault="00AE00C2" w:rsidP="00643F01">
            <w:pPr>
              <w:jc w:val="center"/>
            </w:pPr>
            <w:r>
              <w:t>Skills builder</w:t>
            </w:r>
          </w:p>
          <w:p w:rsidR="00AE00C2" w:rsidRDefault="00AE00C2" w:rsidP="00643F01">
            <w:pPr>
              <w:jc w:val="center"/>
            </w:pPr>
            <w:r>
              <w:t>College visits</w:t>
            </w:r>
          </w:p>
          <w:p w:rsidR="00AE00C2" w:rsidRDefault="00AE00C2" w:rsidP="00643F01">
            <w:pPr>
              <w:jc w:val="center"/>
            </w:pPr>
            <w:r>
              <w:t>Work Experience</w:t>
            </w:r>
          </w:p>
          <w:p w:rsidR="00AE00C2" w:rsidRPr="009F3A79" w:rsidRDefault="00AE00C2" w:rsidP="00643F01">
            <w:pPr>
              <w:jc w:val="center"/>
            </w:pPr>
            <w:r>
              <w:t>Future U SEND Industry Workshop</w:t>
            </w:r>
            <w:r>
              <w:br/>
              <w:t>Enterprise</w:t>
            </w:r>
          </w:p>
        </w:tc>
        <w:tc>
          <w:tcPr>
            <w:tcW w:w="2767" w:type="dxa"/>
          </w:tcPr>
          <w:p w:rsidR="00AE00C2" w:rsidRDefault="00AE00C2" w:rsidP="00643F01">
            <w:pPr>
              <w:jc w:val="center"/>
            </w:pPr>
            <w:r>
              <w:t>Pathway 2</w:t>
            </w:r>
          </w:p>
          <w:p w:rsidR="00AE00C2" w:rsidRDefault="00AE00C2" w:rsidP="00643F01">
            <w:pPr>
              <w:jc w:val="center"/>
            </w:pPr>
            <w:r w:rsidRPr="00115F0B">
              <w:t>ASDAN Preparation for Adulthood Programmes</w:t>
            </w:r>
          </w:p>
          <w:p w:rsidR="00AE00C2" w:rsidRDefault="00AE00C2" w:rsidP="00643F01">
            <w:pPr>
              <w:jc w:val="center"/>
            </w:pPr>
          </w:p>
          <w:p w:rsidR="00AE00C2" w:rsidRDefault="00AE00C2" w:rsidP="00643F01">
            <w:pPr>
              <w:jc w:val="center"/>
            </w:pPr>
            <w:r>
              <w:t>AQA Single Unit Awards</w:t>
            </w:r>
          </w:p>
          <w:p w:rsidR="00AE00C2" w:rsidRDefault="00AE00C2" w:rsidP="00643F01">
            <w:pPr>
              <w:jc w:val="center"/>
            </w:pPr>
          </w:p>
          <w:p w:rsidR="00AE00C2" w:rsidRDefault="00AE00C2" w:rsidP="00643F01">
            <w:pPr>
              <w:jc w:val="center"/>
            </w:pPr>
            <w:r>
              <w:t>Functional Skills Maths and English</w:t>
            </w:r>
          </w:p>
          <w:p w:rsidR="00AE00C2" w:rsidRDefault="00AE00C2" w:rsidP="00643F01">
            <w:pPr>
              <w:jc w:val="center"/>
            </w:pPr>
            <w:r>
              <w:t>Entry Level 1-3</w:t>
            </w:r>
            <w:bookmarkStart w:id="0" w:name="_GoBack"/>
            <w:bookmarkEnd w:id="0"/>
          </w:p>
          <w:p w:rsidR="00AE00C2" w:rsidRDefault="00AE00C2" w:rsidP="00643F01">
            <w:pPr>
              <w:jc w:val="center"/>
            </w:pPr>
            <w:r>
              <w:t>Careers:</w:t>
            </w:r>
          </w:p>
          <w:p w:rsidR="00AE00C2" w:rsidRPr="00FB0529" w:rsidRDefault="00AE00C2" w:rsidP="00643F01">
            <w:pPr>
              <w:jc w:val="center"/>
            </w:pPr>
            <w:r w:rsidRPr="00FB0529">
              <w:t>Skills builder</w:t>
            </w:r>
          </w:p>
          <w:p w:rsidR="00AE00C2" w:rsidRPr="00FB0529" w:rsidRDefault="00AE00C2" w:rsidP="00643F01">
            <w:pPr>
              <w:jc w:val="center"/>
            </w:pPr>
            <w:r w:rsidRPr="00FB0529">
              <w:t>College visits</w:t>
            </w:r>
          </w:p>
          <w:p w:rsidR="00AE00C2" w:rsidRDefault="00AE00C2" w:rsidP="00643F01">
            <w:pPr>
              <w:jc w:val="center"/>
            </w:pPr>
            <w:r w:rsidRPr="00FB0529">
              <w:t>Future</w:t>
            </w:r>
            <w:r>
              <w:t xml:space="preserve"> </w:t>
            </w:r>
            <w:r w:rsidRPr="00FB0529">
              <w:t>U SEND Industry Workshop</w:t>
            </w:r>
          </w:p>
          <w:p w:rsidR="00AE00C2" w:rsidRDefault="00AE00C2" w:rsidP="00643F01">
            <w:pPr>
              <w:jc w:val="center"/>
            </w:pPr>
            <w:r>
              <w:t>Work Experience</w:t>
            </w:r>
          </w:p>
          <w:p w:rsidR="00AE00C2" w:rsidRDefault="00AE00C2" w:rsidP="00643F01">
            <w:pPr>
              <w:jc w:val="center"/>
            </w:pPr>
            <w:r>
              <w:t>Enterprise</w:t>
            </w:r>
          </w:p>
        </w:tc>
        <w:tc>
          <w:tcPr>
            <w:tcW w:w="2847" w:type="dxa"/>
          </w:tcPr>
          <w:p w:rsidR="00AE00C2" w:rsidRDefault="00AE00C2" w:rsidP="00643F01">
            <w:pPr>
              <w:jc w:val="center"/>
            </w:pPr>
            <w:r>
              <w:t>Pathway 3</w:t>
            </w:r>
          </w:p>
          <w:p w:rsidR="00AE00C2" w:rsidRDefault="00AE00C2" w:rsidP="00643F01">
            <w:pPr>
              <w:jc w:val="center"/>
            </w:pPr>
            <w:r>
              <w:t>ASDAN Preparation for Adulthood Programmes</w:t>
            </w:r>
          </w:p>
          <w:p w:rsidR="00AE00C2" w:rsidRDefault="00AE00C2" w:rsidP="00643F01">
            <w:pPr>
              <w:jc w:val="center"/>
            </w:pPr>
          </w:p>
          <w:p w:rsidR="00AE00C2" w:rsidRDefault="00AE00C2" w:rsidP="00643F01">
            <w:pPr>
              <w:jc w:val="center"/>
            </w:pPr>
            <w:r>
              <w:t>AQA Single Unit Awards</w:t>
            </w:r>
          </w:p>
          <w:p w:rsidR="00AE00C2" w:rsidRDefault="00AE00C2" w:rsidP="00643F01">
            <w:pPr>
              <w:jc w:val="center"/>
            </w:pPr>
          </w:p>
          <w:p w:rsidR="00AE00C2" w:rsidRDefault="00AE00C2" w:rsidP="00643F01">
            <w:pPr>
              <w:jc w:val="center"/>
            </w:pPr>
            <w:r>
              <w:t>Functional Maths and Literacy skills</w:t>
            </w:r>
          </w:p>
          <w:p w:rsidR="00AE00C2" w:rsidRDefault="00AE00C2" w:rsidP="00643F01">
            <w:pPr>
              <w:jc w:val="center"/>
            </w:pPr>
          </w:p>
          <w:p w:rsidR="00AE00C2" w:rsidRDefault="00AE00C2" w:rsidP="00643F01">
            <w:pPr>
              <w:jc w:val="center"/>
            </w:pPr>
          </w:p>
          <w:p w:rsidR="00AE00C2" w:rsidRDefault="00AE00C2" w:rsidP="00643F01">
            <w:pPr>
              <w:jc w:val="center"/>
            </w:pPr>
            <w:r>
              <w:t>Careers:</w:t>
            </w:r>
          </w:p>
          <w:p w:rsidR="00AE00C2" w:rsidRDefault="00AE00C2" w:rsidP="00643F01">
            <w:pPr>
              <w:jc w:val="center"/>
            </w:pPr>
            <w:r>
              <w:t>Skills builder</w:t>
            </w:r>
          </w:p>
          <w:p w:rsidR="00AE00C2" w:rsidRDefault="00AE00C2" w:rsidP="00643F01">
            <w:pPr>
              <w:jc w:val="center"/>
            </w:pPr>
            <w:r>
              <w:t>Community Visits</w:t>
            </w:r>
          </w:p>
          <w:p w:rsidR="00AE00C2" w:rsidRDefault="00AE00C2" w:rsidP="00643F01">
            <w:pPr>
              <w:jc w:val="center"/>
            </w:pPr>
            <w:r>
              <w:t>Volunteering</w:t>
            </w:r>
          </w:p>
          <w:p w:rsidR="00AE00C2" w:rsidRDefault="00AE00C2" w:rsidP="00643F01">
            <w:pPr>
              <w:jc w:val="center"/>
            </w:pPr>
            <w:r>
              <w:t>Enterprise</w:t>
            </w:r>
          </w:p>
        </w:tc>
      </w:tr>
    </w:tbl>
    <w:p w:rsidR="00AE00C2" w:rsidRDefault="00AE00C2"/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tbl>
      <w:tblPr>
        <w:tblStyle w:val="GridTable4-Accent4"/>
        <w:tblpPr w:leftFromText="180" w:rightFromText="180" w:vertAnchor="page" w:horzAnchor="margin" w:tblpY="2233"/>
        <w:tblW w:w="9420" w:type="dxa"/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AE00C2" w:rsidRPr="00AE00C2" w:rsidTr="00AE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AE00C2" w:rsidRPr="00AE00C2" w:rsidRDefault="00AE00C2" w:rsidP="00AE00C2">
            <w:pPr>
              <w:rPr>
                <w:sz w:val="24"/>
                <w:szCs w:val="24"/>
              </w:rPr>
            </w:pPr>
            <w:bookmarkStart w:id="1" w:name="_Hlk131072943"/>
            <w:r w:rsidRPr="00AE00C2">
              <w:rPr>
                <w:sz w:val="24"/>
                <w:szCs w:val="24"/>
              </w:rPr>
              <w:lastRenderedPageBreak/>
              <w:t>Cognition and Learning</w:t>
            </w:r>
          </w:p>
        </w:tc>
        <w:tc>
          <w:tcPr>
            <w:tcW w:w="2355" w:type="dxa"/>
          </w:tcPr>
          <w:p w:rsidR="00AE00C2" w:rsidRPr="00AE00C2" w:rsidRDefault="00AE00C2" w:rsidP="00AE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0C2">
              <w:rPr>
                <w:sz w:val="24"/>
                <w:szCs w:val="24"/>
              </w:rPr>
              <w:t>Communication and Interaction</w:t>
            </w:r>
          </w:p>
        </w:tc>
        <w:tc>
          <w:tcPr>
            <w:tcW w:w="2355" w:type="dxa"/>
          </w:tcPr>
          <w:p w:rsidR="00AE00C2" w:rsidRPr="00AE00C2" w:rsidRDefault="00AE00C2" w:rsidP="00AE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0C2">
              <w:rPr>
                <w:sz w:val="24"/>
                <w:szCs w:val="24"/>
              </w:rPr>
              <w:t>Independent Life and Social Skills</w:t>
            </w:r>
          </w:p>
        </w:tc>
        <w:tc>
          <w:tcPr>
            <w:tcW w:w="2355" w:type="dxa"/>
          </w:tcPr>
          <w:p w:rsidR="00AE00C2" w:rsidRPr="00AE00C2" w:rsidRDefault="00AE00C2" w:rsidP="00AE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0C2">
              <w:rPr>
                <w:sz w:val="24"/>
                <w:szCs w:val="24"/>
              </w:rPr>
              <w:t>Sensory and Physical</w:t>
            </w:r>
          </w:p>
        </w:tc>
      </w:tr>
      <w:tr w:rsidR="00AE00C2" w:rsidRPr="00AE00C2" w:rsidTr="00AE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AE00C2" w:rsidRPr="007122DB" w:rsidRDefault="00AE00C2" w:rsidP="00AE00C2">
            <w:pPr>
              <w:rPr>
                <w:b w:val="0"/>
              </w:rPr>
            </w:pPr>
            <w:r w:rsidRPr="007122DB">
              <w:rPr>
                <w:b w:val="0"/>
              </w:rPr>
              <w:t xml:space="preserve">Functional Numeracy </w:t>
            </w:r>
          </w:p>
          <w:p w:rsidR="00AE00C2" w:rsidRPr="007122DB" w:rsidRDefault="00AE00C2" w:rsidP="00AE00C2">
            <w:pPr>
              <w:rPr>
                <w:b w:val="0"/>
              </w:rPr>
            </w:pPr>
            <w:r w:rsidRPr="007122DB">
              <w:rPr>
                <w:b w:val="0"/>
              </w:rPr>
              <w:t>Functional Literacy</w:t>
            </w:r>
          </w:p>
          <w:p w:rsidR="00AE00C2" w:rsidRPr="007122DB" w:rsidRDefault="00AE00C2" w:rsidP="00AE00C2">
            <w:pPr>
              <w:rPr>
                <w:b w:val="0"/>
              </w:rPr>
            </w:pPr>
            <w:r w:rsidRPr="007122DB">
              <w:rPr>
                <w:b w:val="0"/>
              </w:rPr>
              <w:t>Science</w:t>
            </w:r>
          </w:p>
          <w:p w:rsidR="00AE00C2" w:rsidRPr="007122DB" w:rsidRDefault="00AE00C2" w:rsidP="00AE00C2">
            <w:pPr>
              <w:rPr>
                <w:b w:val="0"/>
              </w:rPr>
            </w:pPr>
            <w:r w:rsidRPr="007122DB">
              <w:rPr>
                <w:b w:val="0"/>
              </w:rPr>
              <w:t>Computing</w:t>
            </w:r>
          </w:p>
          <w:p w:rsidR="00AE00C2" w:rsidRPr="007122DB" w:rsidRDefault="00AE00C2" w:rsidP="00AE00C2">
            <w:pPr>
              <w:rPr>
                <w:b w:val="0"/>
              </w:rPr>
            </w:pPr>
            <w:r w:rsidRPr="007122DB">
              <w:rPr>
                <w:b w:val="0"/>
              </w:rPr>
              <w:t>Technology</w:t>
            </w:r>
          </w:p>
          <w:p w:rsidR="00AE00C2" w:rsidRPr="007122DB" w:rsidRDefault="00AE00C2" w:rsidP="00AE00C2">
            <w:pPr>
              <w:rPr>
                <w:b w:val="0"/>
              </w:rPr>
            </w:pPr>
            <w:r w:rsidRPr="007122DB">
              <w:rPr>
                <w:b w:val="0"/>
              </w:rPr>
              <w:t>Preparation for Adulthood- Employability</w:t>
            </w:r>
          </w:p>
          <w:p w:rsidR="00AE00C2" w:rsidRPr="007122DB" w:rsidRDefault="00AE00C2" w:rsidP="00AE00C2">
            <w:pPr>
              <w:rPr>
                <w:b w:val="0"/>
              </w:rPr>
            </w:pPr>
            <w:r w:rsidRPr="007122DB">
              <w:rPr>
                <w:b w:val="0"/>
              </w:rPr>
              <w:t>ASDAN</w:t>
            </w:r>
          </w:p>
          <w:p w:rsidR="00AE00C2" w:rsidRPr="00AE00C2" w:rsidRDefault="00AE00C2" w:rsidP="00AE00C2"/>
          <w:p w:rsidR="00AE00C2" w:rsidRPr="00AE00C2" w:rsidRDefault="00AE00C2" w:rsidP="00AE00C2"/>
        </w:tc>
        <w:tc>
          <w:tcPr>
            <w:tcW w:w="2355" w:type="dxa"/>
          </w:tcPr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Speaking and Listening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Communication Aids- Theme boards, Communication book, PECS, Objects of Reference etc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Intensive Interaction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00C2">
              <w:t>SaLT</w:t>
            </w:r>
            <w:proofErr w:type="spellEnd"/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Attention Autism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Phonics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Music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Pre reading/reading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Preparation for Adulthood- Friends, Relationships and Community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</w:tcPr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PSHE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Preparation for Adulthood- Employability, Independent Living, Friends, Relationships and Community and Good Health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Cooking and Food preparation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</w:tcPr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Preparation for Adulthood- Good Health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The Zones of Regulation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Sensory Circuits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TAC PAC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Outdoor education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Art</w:t>
            </w:r>
          </w:p>
          <w:p w:rsidR="00AE00C2" w:rsidRPr="00AE00C2" w:rsidRDefault="00AE00C2" w:rsidP="00AE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C2">
              <w:t>PE</w:t>
            </w:r>
          </w:p>
        </w:tc>
      </w:tr>
    </w:tbl>
    <w:p w:rsidR="00AE00C2" w:rsidRPr="00AE00C2" w:rsidRDefault="00AE00C2" w:rsidP="00AE00C2">
      <w:bookmarkStart w:id="2" w:name="_Hlk131073062"/>
      <w:bookmarkEnd w:id="1"/>
      <w:r>
        <w:t xml:space="preserve">For Pathways 3 pupils- </w:t>
      </w:r>
      <w:r w:rsidRPr="00AE00C2">
        <w:t>Subject areas and learning activities covered under the four umbrella terms:</w:t>
      </w:r>
      <w:bookmarkEnd w:id="2"/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AE00C2" w:rsidRDefault="00AE00C2">
      <w:pPr>
        <w:rPr>
          <w:u w:val="single"/>
        </w:rPr>
      </w:pPr>
    </w:p>
    <w:p w:rsidR="00607B50" w:rsidRPr="0005234E" w:rsidRDefault="00511A08">
      <w:pPr>
        <w:rPr>
          <w:u w:val="single"/>
        </w:rPr>
      </w:pPr>
      <w:r w:rsidRPr="0005234E">
        <w:rPr>
          <w:u w:val="single"/>
        </w:rPr>
        <w:t>Impact:</w:t>
      </w:r>
    </w:p>
    <w:p w:rsidR="00D9491D" w:rsidRPr="00D9491D" w:rsidRDefault="00D9491D" w:rsidP="00D9491D">
      <w:r w:rsidRPr="00D9491D">
        <w:t>Pupils are develop</w:t>
      </w:r>
      <w:r w:rsidR="00ED3AB4">
        <w:t>ing</w:t>
      </w:r>
      <w:r w:rsidRPr="00D9491D">
        <w:t xml:space="preserve"> life skills as part of their Preparation for Adulthood that will lead to a fulfilled, more independent</w:t>
      </w:r>
      <w:r w:rsidR="00ED3AB4">
        <w:t xml:space="preserve">, healthy </w:t>
      </w:r>
      <w:r w:rsidRPr="00D9491D">
        <w:t xml:space="preserve">adult life. </w:t>
      </w:r>
    </w:p>
    <w:p w:rsidR="00D9491D" w:rsidRPr="00D9491D" w:rsidRDefault="00D9491D" w:rsidP="00D9491D">
      <w:r w:rsidRPr="00D9491D">
        <w:t>Pupils are making good progress towards their individual E</w:t>
      </w:r>
      <w:r w:rsidR="00C274EC">
        <w:t>HC</w:t>
      </w:r>
      <w:r w:rsidRPr="00D9491D">
        <w:t>P Outcomes.</w:t>
      </w:r>
    </w:p>
    <w:p w:rsidR="00D9491D" w:rsidRDefault="00D9491D" w:rsidP="00D9491D">
      <w:r w:rsidRPr="00D9491D">
        <w:t xml:space="preserve">Pupils are </w:t>
      </w:r>
      <w:r w:rsidR="00991BD9" w:rsidRPr="00D9491D">
        <w:t>transfer</w:t>
      </w:r>
      <w:r w:rsidR="00991BD9">
        <w:t>ring</w:t>
      </w:r>
      <w:r w:rsidRPr="00D9491D">
        <w:t xml:space="preserve"> their literacy, numeracy and communication skills from the classroom out into the community. </w:t>
      </w:r>
    </w:p>
    <w:p w:rsidR="00EF781B" w:rsidRPr="00C274EC" w:rsidRDefault="00EF781B" w:rsidP="00D9491D">
      <w:pPr>
        <w:rPr>
          <w:u w:val="single"/>
        </w:rPr>
      </w:pPr>
      <w:r w:rsidRPr="00C274EC">
        <w:rPr>
          <w:u w:val="single"/>
        </w:rPr>
        <w:t>Assessment:</w:t>
      </w:r>
    </w:p>
    <w:p w:rsidR="00EF781B" w:rsidRDefault="00C274EC" w:rsidP="00D9491D">
      <w:r>
        <w:t>Accreditation and Qualification Portfolios</w:t>
      </w:r>
    </w:p>
    <w:p w:rsidR="00EF781B" w:rsidRDefault="00C274EC" w:rsidP="00D9491D">
      <w:r>
        <w:t xml:space="preserve">Functional Skills </w:t>
      </w:r>
      <w:r w:rsidR="00EF781B">
        <w:t>Examinations</w:t>
      </w:r>
    </w:p>
    <w:p w:rsidR="00EF781B" w:rsidRDefault="00EF781B" w:rsidP="00D9491D">
      <w:r>
        <w:t xml:space="preserve">B </w:t>
      </w:r>
      <w:r w:rsidR="00C274EC">
        <w:t xml:space="preserve">Squared updated </w:t>
      </w:r>
      <w:r w:rsidR="006C6F4F">
        <w:t>throughout the</w:t>
      </w:r>
      <w:r w:rsidR="00C274EC">
        <w:t xml:space="preserve"> year and submitted at the end of the year</w:t>
      </w:r>
      <w:r w:rsidR="00340EED">
        <w:t xml:space="preserve"> for analysis.</w:t>
      </w:r>
    </w:p>
    <w:p w:rsidR="00A1360A" w:rsidRPr="00A1360A" w:rsidRDefault="00A1360A" w:rsidP="00A1360A">
      <w:r w:rsidRPr="00A1360A">
        <w:t>Evidence for Learning is used to assess progress towards EHCP Outcomes using a Golden Thread approach.</w:t>
      </w:r>
    </w:p>
    <w:p w:rsidR="001B7D93" w:rsidRPr="001B7D93" w:rsidRDefault="001B7D93" w:rsidP="001B7D93">
      <w:r w:rsidRPr="001B7D93">
        <w:lastRenderedPageBreak/>
        <w:t>Pupils progress is summarised in Pupil Cent</w:t>
      </w:r>
      <w:r w:rsidR="00E54EC9">
        <w:t>re</w:t>
      </w:r>
      <w:r w:rsidRPr="001B7D93">
        <w:t>d Assessment which is based around the four Headings ‘Cognition and Learning’, ‘Communication and Interaction’, ‘Physical and Sensory’ and ‘Independence, Life Skills and Social Skills’.</w:t>
      </w:r>
    </w:p>
    <w:p w:rsidR="0050450D" w:rsidRDefault="0050450D" w:rsidP="00D9491D"/>
    <w:p w:rsidR="00693934" w:rsidRDefault="00693934" w:rsidP="00D9491D"/>
    <w:p w:rsidR="00693934" w:rsidRDefault="00693934" w:rsidP="00D9491D"/>
    <w:p w:rsidR="009A4033" w:rsidRDefault="009A4033" w:rsidP="00D9491D"/>
    <w:p w:rsidR="00511A08" w:rsidRDefault="00511A08"/>
    <w:sectPr w:rsidR="0051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BC"/>
    <w:rsid w:val="00016147"/>
    <w:rsid w:val="00030469"/>
    <w:rsid w:val="000502D8"/>
    <w:rsid w:val="0005234E"/>
    <w:rsid w:val="00075F6A"/>
    <w:rsid w:val="000A168A"/>
    <w:rsid w:val="000A758F"/>
    <w:rsid w:val="000E5447"/>
    <w:rsid w:val="000E7CA7"/>
    <w:rsid w:val="00115F0B"/>
    <w:rsid w:val="00150D57"/>
    <w:rsid w:val="001534F0"/>
    <w:rsid w:val="00170188"/>
    <w:rsid w:val="00171C0B"/>
    <w:rsid w:val="00195C3D"/>
    <w:rsid w:val="001B1E13"/>
    <w:rsid w:val="001B4AD6"/>
    <w:rsid w:val="001B7D93"/>
    <w:rsid w:val="001E2394"/>
    <w:rsid w:val="00214225"/>
    <w:rsid w:val="00216B22"/>
    <w:rsid w:val="002262AD"/>
    <w:rsid w:val="002358FD"/>
    <w:rsid w:val="00243ADE"/>
    <w:rsid w:val="0024511F"/>
    <w:rsid w:val="00267FBD"/>
    <w:rsid w:val="0029119A"/>
    <w:rsid w:val="002A4913"/>
    <w:rsid w:val="002B2CAE"/>
    <w:rsid w:val="002C4DF7"/>
    <w:rsid w:val="002E1EFE"/>
    <w:rsid w:val="002E2434"/>
    <w:rsid w:val="002E46B4"/>
    <w:rsid w:val="003068FE"/>
    <w:rsid w:val="00314C13"/>
    <w:rsid w:val="00340EED"/>
    <w:rsid w:val="00345CD8"/>
    <w:rsid w:val="00386F8E"/>
    <w:rsid w:val="003B3D74"/>
    <w:rsid w:val="00412D31"/>
    <w:rsid w:val="00431FD0"/>
    <w:rsid w:val="0046074A"/>
    <w:rsid w:val="00476C57"/>
    <w:rsid w:val="004951B2"/>
    <w:rsid w:val="004C5F17"/>
    <w:rsid w:val="004C6C2C"/>
    <w:rsid w:val="004D7904"/>
    <w:rsid w:val="004F2FD8"/>
    <w:rsid w:val="0050450D"/>
    <w:rsid w:val="00511A08"/>
    <w:rsid w:val="00556C16"/>
    <w:rsid w:val="005867BC"/>
    <w:rsid w:val="00595C92"/>
    <w:rsid w:val="005B61D2"/>
    <w:rsid w:val="005F65B3"/>
    <w:rsid w:val="0060232E"/>
    <w:rsid w:val="00607B50"/>
    <w:rsid w:val="006316E7"/>
    <w:rsid w:val="00693934"/>
    <w:rsid w:val="006A7597"/>
    <w:rsid w:val="006A7BEA"/>
    <w:rsid w:val="006B703C"/>
    <w:rsid w:val="006C6F4F"/>
    <w:rsid w:val="007107DA"/>
    <w:rsid w:val="007122DB"/>
    <w:rsid w:val="00724A9E"/>
    <w:rsid w:val="007303BC"/>
    <w:rsid w:val="00737160"/>
    <w:rsid w:val="00762102"/>
    <w:rsid w:val="00775A27"/>
    <w:rsid w:val="007F2443"/>
    <w:rsid w:val="007F4F82"/>
    <w:rsid w:val="007F5810"/>
    <w:rsid w:val="00807A0A"/>
    <w:rsid w:val="00826138"/>
    <w:rsid w:val="008779A4"/>
    <w:rsid w:val="008B2899"/>
    <w:rsid w:val="008D340A"/>
    <w:rsid w:val="008E2ECA"/>
    <w:rsid w:val="008F325E"/>
    <w:rsid w:val="00915377"/>
    <w:rsid w:val="009414DA"/>
    <w:rsid w:val="00967E40"/>
    <w:rsid w:val="00985AF9"/>
    <w:rsid w:val="00991BD9"/>
    <w:rsid w:val="009A4033"/>
    <w:rsid w:val="009B622F"/>
    <w:rsid w:val="009C0D5E"/>
    <w:rsid w:val="009D0141"/>
    <w:rsid w:val="009F3A79"/>
    <w:rsid w:val="00A1360A"/>
    <w:rsid w:val="00A25201"/>
    <w:rsid w:val="00A34115"/>
    <w:rsid w:val="00A3411F"/>
    <w:rsid w:val="00A45AD1"/>
    <w:rsid w:val="00A66D6B"/>
    <w:rsid w:val="00A7171E"/>
    <w:rsid w:val="00A8323B"/>
    <w:rsid w:val="00A83ABB"/>
    <w:rsid w:val="00A85913"/>
    <w:rsid w:val="00AB4D68"/>
    <w:rsid w:val="00AD4892"/>
    <w:rsid w:val="00AE00C2"/>
    <w:rsid w:val="00B03F71"/>
    <w:rsid w:val="00B2669F"/>
    <w:rsid w:val="00B36F53"/>
    <w:rsid w:val="00B37E32"/>
    <w:rsid w:val="00B434E6"/>
    <w:rsid w:val="00B9480E"/>
    <w:rsid w:val="00BC12AB"/>
    <w:rsid w:val="00BC7AE3"/>
    <w:rsid w:val="00BD116A"/>
    <w:rsid w:val="00BE5A34"/>
    <w:rsid w:val="00C274EC"/>
    <w:rsid w:val="00C30062"/>
    <w:rsid w:val="00C427BB"/>
    <w:rsid w:val="00C527BB"/>
    <w:rsid w:val="00CB11A3"/>
    <w:rsid w:val="00CB19DA"/>
    <w:rsid w:val="00CE0839"/>
    <w:rsid w:val="00CF1227"/>
    <w:rsid w:val="00CF69EC"/>
    <w:rsid w:val="00D5548B"/>
    <w:rsid w:val="00D74AC8"/>
    <w:rsid w:val="00D80B71"/>
    <w:rsid w:val="00D935AD"/>
    <w:rsid w:val="00D9491D"/>
    <w:rsid w:val="00D94981"/>
    <w:rsid w:val="00DB6274"/>
    <w:rsid w:val="00DC3320"/>
    <w:rsid w:val="00DE322B"/>
    <w:rsid w:val="00DE49EE"/>
    <w:rsid w:val="00E1733D"/>
    <w:rsid w:val="00E200D0"/>
    <w:rsid w:val="00E274E1"/>
    <w:rsid w:val="00E506D4"/>
    <w:rsid w:val="00E54EC9"/>
    <w:rsid w:val="00E6082B"/>
    <w:rsid w:val="00E8027B"/>
    <w:rsid w:val="00E810B0"/>
    <w:rsid w:val="00E9615C"/>
    <w:rsid w:val="00ED2EF3"/>
    <w:rsid w:val="00ED3AB4"/>
    <w:rsid w:val="00ED4EBE"/>
    <w:rsid w:val="00EF66FE"/>
    <w:rsid w:val="00EF781B"/>
    <w:rsid w:val="00F41FD7"/>
    <w:rsid w:val="00F54464"/>
    <w:rsid w:val="00F62F0E"/>
    <w:rsid w:val="00F85691"/>
    <w:rsid w:val="00FB0529"/>
    <w:rsid w:val="00FB0D13"/>
    <w:rsid w:val="00FB57FE"/>
    <w:rsid w:val="00FF25F3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68F2"/>
  <w15:chartTrackingRefBased/>
  <w15:docId w15:val="{2E3FA7D7-63C1-40A5-84BC-FF1BF335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-Accent4">
    <w:name w:val="Grid Table 4 Accent 4"/>
    <w:basedOn w:val="TableNormal"/>
    <w:uiPriority w:val="49"/>
    <w:rsid w:val="00AE00C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Pettitt, Emma</dc:creator>
  <cp:keywords/>
  <dc:description/>
  <cp:lastModifiedBy>Pettitt, Emma</cp:lastModifiedBy>
  <cp:revision>4</cp:revision>
  <dcterms:created xsi:type="dcterms:W3CDTF">2023-04-04T14:46:00Z</dcterms:created>
  <dcterms:modified xsi:type="dcterms:W3CDTF">2023-11-16T14:40:00Z</dcterms:modified>
</cp:coreProperties>
</file>